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DF4E" w14:textId="77777777" w:rsidR="00EF469C" w:rsidRPr="009D174E" w:rsidRDefault="006635D4" w:rsidP="009D174E">
      <w:pPr>
        <w:jc w:val="center"/>
        <w:rPr>
          <w:rFonts w:ascii="Times New Roman" w:hAnsi="Times New Roman" w:cs="Times New Roman"/>
        </w:rPr>
      </w:pPr>
      <w:r>
        <w:rPr>
          <w:noProof/>
        </w:rPr>
        <w:pict w14:anchorId="3B617C64">
          <v:rect id="_x0000_s1045" style="position:absolute;left:0;text-align:left;margin-left:66.3pt;margin-top:491.5pt;width:660.75pt;height:53.25pt;z-index:251677696">
            <v:textbox>
              <w:txbxContent>
                <w:p w14:paraId="528E0D8F" w14:textId="77777777" w:rsidR="00116271" w:rsidRPr="00116271" w:rsidRDefault="0011627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Рефлексивно- оценочный компонент: разработаны нормативные акты, обеспечивающие вариативность образования, педагоги повышают свой профессиональный уровень( курсы, семинары); разработано методическое обеспечение, создана материально-техническое обеспечение, доступная среда и комплексное ПП- сопровождение.</w:t>
                  </w:r>
                </w:p>
              </w:txbxContent>
            </v:textbox>
          </v:rect>
        </w:pict>
      </w:r>
      <w:r>
        <w:rPr>
          <w:noProof/>
        </w:rPr>
        <w:pict w14:anchorId="25EDE5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584.55pt;margin-top:421.75pt;width:0;height:55.5pt;z-index:251715584" o:connectortype="straight"/>
        </w:pict>
      </w:r>
      <w:r>
        <w:rPr>
          <w:noProof/>
        </w:rPr>
        <w:pict w14:anchorId="329CF6B3">
          <v:shape id="_x0000_s1087" type="#_x0000_t32" style="position:absolute;left:0;text-align:left;margin-left:573.3pt;margin-top:350.5pt;width:0;height:39pt;z-index:251714560" o:connectortype="straight"/>
        </w:pict>
      </w:r>
      <w:r>
        <w:rPr>
          <w:noProof/>
        </w:rPr>
        <w:pict w14:anchorId="4AB0F80F">
          <v:rect id="_x0000_s1043" style="position:absolute;left:0;text-align:left;margin-left:423.3pt;margin-top:350.5pt;width:300pt;height:126.75pt;z-index:251675648">
            <v:textbox style="mso-next-textbox:#_x0000_s1043">
              <w:txbxContent>
                <w:p w14:paraId="72A30788" w14:textId="77777777" w:rsidR="00D57375" w:rsidRDefault="00D57375" w:rsidP="00DF67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Технологии: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здоровьесберегаю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    Методы: игровые, наглядные,</w:t>
                  </w:r>
                </w:p>
                <w:p w14:paraId="7364F05A" w14:textId="77777777" w:rsidR="00D57375" w:rsidRDefault="00D57375" w:rsidP="00DF67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проектной деятельности,          словесные, практические.</w:t>
                  </w:r>
                </w:p>
                <w:p w14:paraId="0265A7F5" w14:textId="77777777" w:rsidR="00D57375" w:rsidRDefault="00D57375" w:rsidP="00DF67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ИКТ, « Клубный час»</w:t>
                  </w:r>
                </w:p>
                <w:p w14:paraId="10E90DD7" w14:textId="77777777" w:rsidR="00D57375" w:rsidRDefault="00D57375" w:rsidP="00DF67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Приемы: наглядный показ образца,     Средства обучения:</w:t>
                  </w:r>
                </w:p>
                <w:p w14:paraId="57C4AE8C" w14:textId="7AAB0DEA" w:rsidR="00D57375" w:rsidRDefault="00D57375" w:rsidP="00DF677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Игровые приемы.</w:t>
                  </w:r>
                  <w:r w:rsidR="00DF67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</w:p>
                <w:p w14:paraId="2F691F9B" w14:textId="77777777" w:rsidR="00D57375" w:rsidRPr="00D57375" w:rsidRDefault="00D573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22938C9">
          <v:rect id="_x0000_s1044" style="position:absolute;left:0;text-align:left;margin-left:556.8pt;margin-top:389.5pt;width:38.25pt;height:31.5pt;z-index:251676672">
            <v:textbox>
              <w:txbxContent>
                <w:p w14:paraId="457E81E9" w14:textId="77777777" w:rsidR="00D57375" w:rsidRDefault="00D57375">
                  <w:r>
                    <w:t>НОД</w:t>
                  </w:r>
                </w:p>
              </w:txbxContent>
            </v:textbox>
          </v:rect>
        </w:pict>
      </w:r>
      <w:r>
        <w:rPr>
          <w:noProof/>
        </w:rPr>
        <w:pict w14:anchorId="027428A0">
          <v:shape id="_x0000_s1086" type="#_x0000_t32" style="position:absolute;left:0;text-align:left;margin-left:387.3pt;margin-top:346.75pt;width:343.5pt;height:0;z-index:251713536" o:connectortype="straight"/>
        </w:pict>
      </w:r>
      <w:r>
        <w:rPr>
          <w:noProof/>
        </w:rPr>
        <w:pict w14:anchorId="3D473F0B">
          <v:shape id="_x0000_s1085" type="#_x0000_t32" style="position:absolute;left:0;text-align:left;margin-left:19.8pt;margin-top:340.75pt;width:276pt;height:6pt;z-index:251712512" o:connectortype="straight"/>
        </w:pict>
      </w:r>
      <w:r>
        <w:rPr>
          <w:noProof/>
        </w:rPr>
        <w:pict w14:anchorId="714A6D51">
          <v:rect id="_x0000_s1042" style="position:absolute;left:0;text-align:left;margin-left:295.8pt;margin-top:340.75pt;width:91.5pt;height:136.5pt;z-index:251674624">
            <v:textbox style="mso-next-textbox:#_x0000_s1042">
              <w:txbxContent>
                <w:p w14:paraId="498EC7C9" w14:textId="77777777" w:rsidR="005A7E67" w:rsidRPr="005A7E67" w:rsidRDefault="005A7E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E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Управленческий компонент: обеспечение образовательного процесса: положения, приказы, договоры.</w:t>
                  </w:r>
                </w:p>
              </w:txbxContent>
            </v:textbox>
          </v:rect>
        </w:pict>
      </w:r>
      <w:r>
        <w:rPr>
          <w:noProof/>
        </w:rPr>
        <w:pict w14:anchorId="4F50BD4D">
          <v:shape id="_x0000_s1082" type="#_x0000_t32" style="position:absolute;left:0;text-align:left;margin-left:727.05pt;margin-top:277pt;width:3.75pt;height:0;z-index:251711488" o:connectortype="straight"/>
        </w:pict>
      </w:r>
      <w:r>
        <w:rPr>
          <w:noProof/>
        </w:rPr>
        <w:pict w14:anchorId="677B1CFE">
          <v:shape id="_x0000_s1081" type="#_x0000_t32" style="position:absolute;left:0;text-align:left;margin-left:723.3pt;margin-top:404.5pt;width:12pt;height:0;z-index:251710464" o:connectortype="straight"/>
        </w:pict>
      </w:r>
      <w:r>
        <w:rPr>
          <w:noProof/>
        </w:rPr>
        <w:pict w14:anchorId="79143D4C">
          <v:shape id="_x0000_s1079" type="#_x0000_t32" style="position:absolute;left:0;text-align:left;margin-left:595.05pt;margin-top:404.5pt;width:128.25pt;height:.05pt;z-index:251708416" o:connectortype="straight"/>
        </w:pict>
      </w:r>
      <w:r>
        <w:rPr>
          <w:noProof/>
        </w:rPr>
        <w:pict w14:anchorId="18808493">
          <v:shape id="_x0000_s1078" type="#_x0000_t32" style="position:absolute;left:0;text-align:left;margin-left:423.3pt;margin-top:403pt;width:124.5pt;height:0;z-index:251707392" o:connectortype="straight"/>
        </w:pict>
      </w:r>
      <w:r>
        <w:rPr>
          <w:noProof/>
        </w:rPr>
        <w:pict w14:anchorId="156AA78A">
          <v:shape id="_x0000_s1076" type="#_x0000_t32" style="position:absolute;left:0;text-align:left;margin-left:49.8pt;margin-top:404.5pt;width:16.5pt;height:.05pt;flip:x;z-index:251705344" o:connectortype="straight"/>
        </w:pict>
      </w:r>
      <w:r>
        <w:rPr>
          <w:noProof/>
        </w:rPr>
        <w:pict w14:anchorId="37AA0C16">
          <v:shape id="_x0000_s1075" type="#_x0000_t32" style="position:absolute;left:0;text-align:left;margin-left:66.3pt;margin-top:404.5pt;width:1in;height:.05pt;flip:x;z-index:251704320" o:connectortype="straight"/>
        </w:pict>
      </w:r>
      <w:r>
        <w:rPr>
          <w:noProof/>
        </w:rPr>
        <w:pict w14:anchorId="119E6F41">
          <v:shape id="_x0000_s1073" type="#_x0000_t32" style="position:absolute;left:0;text-align:left;margin-left:183.3pt;margin-top:403pt;width:81pt;height:1.5pt;flip:y;z-index:251702272" o:connectortype="straight"/>
        </w:pict>
      </w:r>
      <w:r>
        <w:rPr>
          <w:noProof/>
        </w:rPr>
        <w:pict w14:anchorId="061EBA21">
          <v:shape id="_x0000_s1071" type="#_x0000_t32" style="position:absolute;left:0;text-align:left;margin-left:165.3pt;margin-top:350.5pt;width:.75pt;height:0;flip:x;z-index:251700224" o:connectortype="straight"/>
        </w:pict>
      </w:r>
      <w:r>
        <w:rPr>
          <w:noProof/>
        </w:rPr>
        <w:pict w14:anchorId="63D7293A">
          <v:shape id="_x0000_s1070" type="#_x0000_t32" style="position:absolute;left:0;text-align:left;margin-left:49.8pt;margin-top:254.5pt;width:9.75pt;height:0;z-index:251699200" o:connectortype="straight"/>
        </w:pict>
      </w:r>
      <w:r>
        <w:rPr>
          <w:noProof/>
        </w:rPr>
        <w:pict w14:anchorId="50557A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59.55pt;margin-top:202pt;width:147.75pt;height:102pt;z-index:251666432">
            <v:textbox style="mso-next-textbox:#_x0000_s1034">
              <w:txbxContent>
                <w:p w14:paraId="7C62EED1" w14:textId="53674CB9" w:rsidR="009D174E" w:rsidRPr="009F51B0" w:rsidRDefault="009F51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Внутреннее взаимодействие: администрация ДОУ, педагоги и узкие специалисты ДОУ, МОП, родители, консультативный пункт, П</w:t>
                  </w:r>
                  <w:r w:rsidR="00CA5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CA5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A485D14">
          <v:shape id="_x0000_s1069" type="#_x0000_t32" style="position:absolute;left:0;text-align:left;margin-left:13.05pt;margin-top:195.25pt;width:.75pt;height:16.5pt;flip:x;z-index:25169817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4527C266">
          <v:shape id="_x0000_s1068" type="#_x0000_t32" style="position:absolute;left:0;text-align:left;margin-left:19.8pt;margin-top:335.5pt;width:0;height:5.25pt;z-index:2516971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21599FE5">
          <v:shape id="_x0000_s1067" type="#_x0000_t32" style="position:absolute;left:0;text-align:left;margin-left:2.55pt;margin-top:444.25pt;width:0;height:85.5pt;flip:y;z-index:2516961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0657C9B2">
          <v:shape id="_x0000_s1066" type="#_x0000_t32" style="position:absolute;left:0;text-align:left;margin-left:2.55pt;margin-top:529.75pt;width:63.75pt;height:2.25pt;flip:x y;z-index:2516951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0E1594C">
          <v:shape id="_x0000_s1065" type="#_x0000_t32" style="position:absolute;left:0;text-align:left;margin-left:727.05pt;margin-top:523.75pt;width:8.25pt;height:0;flip:x;z-index:2516940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02BBC30">
          <v:shape id="_x0000_s1063" type="#_x0000_t32" style="position:absolute;left:0;text-align:left;margin-left:727.05pt;margin-top:44.5pt;width:8.25pt;height:479.25pt;z-index:2516930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8DF2F69">
          <v:shape id="_x0000_s1061" type="#_x0000_t32" style="position:absolute;left:0;text-align:left;margin-left:632.55pt;margin-top:43.75pt;width:94.5pt;height:.75pt;z-index:2516920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252AD545">
          <v:shape id="_x0000_s1060" type="#_x0000_t32" style="position:absolute;left:0;text-align:left;margin-left:24.3pt;margin-top:50.5pt;width:42pt;height:.75pt;z-index:2516910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74470EF">
          <v:shape id="_x0000_s1059" type="#_x0000_t32" style="position:absolute;left:0;text-align:left;margin-left:427.05pt;margin-top:86.5pt;width:16.5pt;height:36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7AD7BDC">
          <v:shape id="_x0000_s1057" type="#_x0000_t32" style="position:absolute;left:0;text-align:left;margin-left:536.55pt;margin-top:330.25pt;width:62.25pt;height:20.25pt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5756449">
          <v:shape id="_x0000_s1056" type="#_x0000_t32" style="position:absolute;left:0;text-align:left;margin-left:231.3pt;margin-top:330.25pt;width:84.75pt;height:20.25pt;flip:x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33953BA8">
          <v:shape id="_x0000_s1055" type="#_x0000_t32" style="position:absolute;left:0;text-align:left;margin-left:584.55pt;margin-top:300.25pt;width:18pt;height:0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F1E6EAC">
          <v:shape id="_x0000_s1054" type="#_x0000_t32" style="position:absolute;left:0;text-align:left;margin-left:562.8pt;margin-top:231.25pt;width:39.75pt;height:45.75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4D88CA19">
          <v:shape id="_x0000_s1053" type="#_x0000_t32" style="position:absolute;left:0;text-align:left;margin-left:202.05pt;margin-top:277pt;width:44.25pt;height:23.2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3BE069D">
          <v:shape id="_x0000_s1052" type="#_x0000_t32" style="position:absolute;left:0;text-align:left;margin-left:202.05pt;margin-top:236.5pt;width:57pt;height:18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C106D3A">
          <v:shape id="_x0000_s1051" type="#_x0000_t32" style="position:absolute;left:0;text-align:left;margin-left:202.05pt;margin-top:211.75pt;width:414.75pt;height:3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D3B531E">
          <v:rect id="_x0000_s1039" style="position:absolute;left:0;text-align:left;margin-left:259.05pt;margin-top:220pt;width:303.75pt;height:20.25pt;z-index:251671552">
            <v:textbox style="mso-next-textbox:#_x0000_s1039">
              <w:txbxContent>
                <w:p w14:paraId="529AF8AB" w14:textId="77777777" w:rsidR="009F51B0" w:rsidRPr="009F51B0" w:rsidRDefault="009F51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Ермаковского района. Управление образования.</w:t>
                  </w:r>
                </w:p>
              </w:txbxContent>
            </v:textbox>
          </v:rect>
        </w:pict>
      </w:r>
      <w:r>
        <w:rPr>
          <w:noProof/>
        </w:rPr>
        <w:pict w14:anchorId="07F061EB">
          <v:shape id="_x0000_s1050" type="#_x0000_t32" style="position:absolute;left:0;text-align:left;margin-left:246.3pt;margin-top:93.25pt;width:37.5pt;height:50.25pt;flip:x;z-index:251681792" o:connectortype="straight">
            <v:stroke endarrow="block"/>
          </v:shape>
        </w:pict>
      </w:r>
      <w:r>
        <w:rPr>
          <w:noProof/>
        </w:rPr>
        <w:pict w14:anchorId="2BE93ACE">
          <v:shape id="_x0000_s1048" type="#_x0000_t32" style="position:absolute;left:0;text-align:left;margin-left:355.05pt;margin-top:93.25pt;width:0;height:12.75pt;z-index:251680768" o:connectortype="straight">
            <v:stroke endarrow="block"/>
          </v:shape>
        </w:pict>
      </w:r>
      <w:r>
        <w:rPr>
          <w:noProof/>
        </w:rPr>
        <w:pict w14:anchorId="2D81C0C9">
          <v:shape id="_x0000_s1047" type="#_x0000_t32" style="position:absolute;left:0;text-align:left;margin-left:264.3pt;margin-top:82.75pt;width:15pt;height:0;flip:x;z-index:251679744" o:connectortype="straight">
            <v:stroke endarrow="block"/>
          </v:shape>
        </w:pict>
      </w:r>
      <w:r>
        <w:rPr>
          <w:noProof/>
        </w:rPr>
        <w:pict w14:anchorId="65CDB197">
          <v:shape id="_x0000_s1046" type="#_x0000_t32" style="position:absolute;left:0;text-align:left;margin-left:427.05pt;margin-top:82.75pt;width:12.75pt;height:0;z-index:251678720" o:connectortype="straight">
            <v:stroke endarrow="block"/>
          </v:shape>
        </w:pict>
      </w:r>
      <w:r>
        <w:rPr>
          <w:noProof/>
        </w:rPr>
        <w:pict w14:anchorId="1F22CE24">
          <v:rect id="_x0000_s1038" style="position:absolute;left:0;text-align:left;margin-left:138.3pt;margin-top:381.25pt;width:45pt;height:40.5pt;z-index:251670528">
            <v:textbox>
              <w:txbxContent>
                <w:p w14:paraId="7A67E1BA" w14:textId="77777777" w:rsidR="00DF6776" w:rsidRPr="00DF6776" w:rsidRDefault="00DF677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F6776">
                    <w:rPr>
                      <w:rFonts w:cstheme="minorHAnsi"/>
                      <w:sz w:val="20"/>
                      <w:szCs w:val="20"/>
                    </w:rPr>
                    <w:t>ООП, АООП.</w:t>
                  </w:r>
                </w:p>
              </w:txbxContent>
            </v:textbox>
          </v:rect>
        </w:pict>
      </w:r>
      <w:r>
        <w:rPr>
          <w:noProof/>
        </w:rPr>
        <w:pict w14:anchorId="154AFE38">
          <v:roundrect id="_x0000_s1041" style="position:absolute;left:0;text-align:left;margin-left:602.55pt;margin-top:211.75pt;width:124.5pt;height:123.75pt;z-index:251673600" arcsize="10923f">
            <v:textbox style="mso-next-textbox:#_x0000_s1041">
              <w:txbxContent>
                <w:p w14:paraId="34267C8F" w14:textId="77777777" w:rsidR="00C7793F" w:rsidRPr="00C7793F" w:rsidRDefault="00C779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Внешние взаимодействие: ПИПК, учреждения культуры, дополнительного образования, социальная защита: ЦРБ, МЧС, СМИ.</w:t>
                  </w:r>
                </w:p>
              </w:txbxContent>
            </v:textbox>
          </v:roundrect>
        </w:pict>
      </w:r>
      <w:r>
        <w:rPr>
          <w:noProof/>
        </w:rPr>
        <w:pict w14:anchorId="7907543A">
          <v:rect id="_x0000_s1036" style="position:absolute;left:0;text-align:left;margin-left:-4.2pt;margin-top:340.75pt;width:54pt;height:103.5pt;z-index:251668480">
            <v:textbox style="layout-flow:vertical;mso-layout-flow-alt:bottom-to-top;mso-next-textbox:#_x0000_s1036">
              <w:txbxContent>
                <w:p w14:paraId="6C17879F" w14:textId="77777777" w:rsidR="00C7793F" w:rsidRPr="00C7793F" w:rsidRDefault="00C779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9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Содержательно-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технологический компонент</w:t>
                  </w:r>
                </w:p>
              </w:txbxContent>
            </v:textbox>
          </v:rect>
        </w:pict>
      </w:r>
      <w:r>
        <w:rPr>
          <w:noProof/>
        </w:rPr>
        <w:pict w14:anchorId="29372384">
          <v:rect id="_x0000_s1035" style="position:absolute;left:0;text-align:left;margin-left:-4.2pt;margin-top:211.75pt;width:54pt;height:123.75pt;z-index:251667456">
            <v:textbox style="layout-flow:vertical;mso-layout-flow-alt:bottom-to-top;mso-next-textbox:#_x0000_s1035">
              <w:txbxContent>
                <w:p w14:paraId="64AC7F9D" w14:textId="77777777" w:rsidR="00FD3967" w:rsidRPr="00FD3967" w:rsidRDefault="00FD39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3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Структурно- функциональный компонент</w:t>
                  </w:r>
                </w:p>
              </w:txbxContent>
            </v:textbox>
          </v:rect>
        </w:pict>
      </w:r>
      <w:r>
        <w:rPr>
          <w:noProof/>
        </w:rPr>
        <w:pict w14:anchorId="435A4EE7">
          <v:rect id="_x0000_s1030" style="position:absolute;left:0;text-align:left;margin-left:-4.2pt;margin-top:40pt;width:28.5pt;height:155.25pt;z-index:251662336">
            <v:textbox style="layout-flow:vertical;mso-layout-flow-alt:bottom-to-top;mso-next-textbox:#_x0000_s1030">
              <w:txbxContent>
                <w:p w14:paraId="0755F1D5" w14:textId="77777777" w:rsidR="00FD3967" w:rsidRDefault="00FD3967">
                  <w:r>
                    <w:t xml:space="preserve">Целевой      компонент </w:t>
                  </w:r>
                </w:p>
              </w:txbxContent>
            </v:textbox>
          </v:rect>
        </w:pict>
      </w:r>
      <w:r>
        <w:rPr>
          <w:noProof/>
        </w:rPr>
        <w:pict w14:anchorId="7A91C67C">
          <v:rect id="_x0000_s1033" style="position:absolute;left:0;text-align:left;margin-left:443.55pt;margin-top:110.5pt;width:235.5pt;height:53.25pt;z-index:251665408">
            <v:textbox style="mso-next-textbox:#_x0000_s1033">
              <w:txbxContent>
                <w:p w14:paraId="1BD43E0A" w14:textId="1B767047" w:rsidR="009F51B0" w:rsidRPr="009F51B0" w:rsidRDefault="009F51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Создать </w:t>
                  </w:r>
                  <w:r w:rsidR="00CA5C05"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материально-техническую</w:t>
                  </w:r>
                  <w:r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базу, обеспечить доступную среду и комплексное ПП- сопровождение.</w:t>
                  </w:r>
                </w:p>
              </w:txbxContent>
            </v:textbox>
          </v:rect>
        </w:pict>
      </w:r>
      <w:r>
        <w:rPr>
          <w:noProof/>
        </w:rPr>
        <w:pict w14:anchorId="457889B1">
          <v:rect id="_x0000_s1032" style="position:absolute;left:0;text-align:left;margin-left:279.3pt;margin-top:106pt;width:153.75pt;height:41.25pt;z-index:251664384">
            <v:textbox style="mso-next-textbox:#_x0000_s1032">
              <w:txbxContent>
                <w:p w14:paraId="58B1D348" w14:textId="77777777" w:rsidR="009F51B0" w:rsidRPr="009F51B0" w:rsidRDefault="009F51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Обеспечить методическое сопровождение</w:t>
                  </w:r>
                </w:p>
              </w:txbxContent>
            </v:textbox>
          </v:rect>
        </w:pict>
      </w:r>
      <w:r>
        <w:rPr>
          <w:noProof/>
        </w:rPr>
        <w:pict w14:anchorId="3C4734E0">
          <v:rect id="_x0000_s1031" style="position:absolute;left:0;text-align:left;margin-left:38.55pt;margin-top:119.5pt;width:207.75pt;height:44.25pt;z-index:251663360">
            <v:textbox style="mso-next-textbox:#_x0000_s1031">
              <w:txbxContent>
                <w:p w14:paraId="508031DE" w14:textId="77777777" w:rsidR="009D174E" w:rsidRPr="009F51B0" w:rsidRDefault="009F51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</w:t>
                  </w:r>
                  <w:r w:rsidR="009D174E"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ршенствовать </w:t>
                  </w:r>
                  <w:r w:rsidRPr="009F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профессиональные компетенции педагогических работников ДОУ</w:t>
                  </w:r>
                </w:p>
              </w:txbxContent>
            </v:textbox>
          </v:rect>
        </w:pict>
      </w:r>
      <w:r>
        <w:rPr>
          <w:noProof/>
        </w:rPr>
        <w:pict w14:anchorId="12C44C98">
          <v:rect id="_x0000_s1027" style="position:absolute;left:0;text-align:left;margin-left:30.3pt;margin-top:67pt;width:234pt;height:39pt;z-index:251659264">
            <v:textbox style="mso-next-textbox:#_x0000_s1027">
              <w:txbxContent>
                <w:p w14:paraId="395920E7" w14:textId="77777777" w:rsidR="009D174E" w:rsidRPr="009D174E" w:rsidRDefault="009D17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Разработать нормативно- правовое обеспечение в целях обеспечения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вариативности образования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 w14:anchorId="0FBB272F">
          <v:rect id="_x0000_s1026" style="position:absolute;left:0;text-align:left;margin-left:66.3pt;margin-top:21.25pt;width:566.25pt;height:39.75pt;z-index:251658240">
            <v:textbox style="mso-next-textbox:#_x0000_s1026">
              <w:txbxContent>
                <w:p w14:paraId="3C4D0C66" w14:textId="741F16A5" w:rsidR="009D174E" w:rsidRPr="009D174E" w:rsidRDefault="009D174E" w:rsidP="009D17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Цель: создание условий для инклюзивного образования в МБДОУ </w:t>
                  </w:r>
                  <w:r w:rsidR="00CA5C05" w:rsidRPr="009D1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="00CA5C05" w:rsidRPr="009D1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Танзыбейский</w:t>
                  </w:r>
                  <w:proofErr w:type="spellEnd"/>
                  <w:r w:rsidRPr="009D1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сад» с учетом индивидуальных особенностей детей.</w:t>
                  </w:r>
                </w:p>
              </w:txbxContent>
            </v:textbox>
          </v:rect>
        </w:pict>
      </w:r>
      <w:r>
        <w:rPr>
          <w:noProof/>
        </w:rPr>
        <w:pict w14:anchorId="19DADFE3">
          <v:rect id="_x0000_s1029" style="position:absolute;left:0;text-align:left;margin-left:443.55pt;margin-top:67pt;width:222pt;height:34.5pt;z-index:251661312">
            <v:textbox style="mso-next-textbox:#_x0000_s1029">
              <w:txbxContent>
                <w:p w14:paraId="4C6CAFCA" w14:textId="77777777" w:rsidR="009D174E" w:rsidRDefault="009D174E">
                  <w:r>
                    <w:t>Формировать инклюзивную культуру у участников образовательного процесса</w:t>
                  </w:r>
                </w:p>
              </w:txbxContent>
            </v:textbox>
          </v:rect>
        </w:pict>
      </w:r>
      <w:r>
        <w:rPr>
          <w:noProof/>
        </w:rPr>
        <w:pict w14:anchorId="7CCBC893">
          <v:rect id="_x0000_s1028" style="position:absolute;left:0;text-align:left;margin-left:279.3pt;margin-top:67pt;width:147.75pt;height:26.25pt;z-index:251660288">
            <v:textbox style="mso-next-textbox:#_x0000_s1028">
              <w:txbxContent>
                <w:p w14:paraId="31BF30E9" w14:textId="77777777" w:rsidR="009D174E" w:rsidRDefault="009D174E" w:rsidP="009D174E">
                  <w:pPr>
                    <w:jc w:val="center"/>
                  </w:pPr>
                  <w:r>
                    <w:t>Задачи</w:t>
                  </w:r>
                </w:p>
              </w:txbxContent>
            </v:textbox>
          </v:rect>
        </w:pict>
      </w:r>
      <w:r>
        <w:rPr>
          <w:noProof/>
        </w:rPr>
        <w:pict w14:anchorId="30DAA9B0">
          <v:rect id="_x0000_s1037" style="position:absolute;left:0;text-align:left;margin-left:59.55pt;margin-top:350.5pt;width:204.75pt;height:103.5pt;z-index:251669504">
            <v:textbox>
              <w:txbxContent>
                <w:p w14:paraId="19044BE0" w14:textId="77777777" w:rsidR="00116271" w:rsidRDefault="00DF67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6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Примерная пр</w:t>
                  </w:r>
                  <w:r w:rsidR="00116271" w:rsidRPr="00116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116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грамма.</w:t>
                  </w:r>
                  <w:r w:rsidR="00116271" w:rsidRPr="00116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</w:p>
                <w:p w14:paraId="54DFA1A2" w14:textId="77777777" w:rsidR="00116271" w:rsidRDefault="0011627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48B076" w14:textId="77777777" w:rsidR="00116271" w:rsidRDefault="0011627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9A6708A" w14:textId="77777777" w:rsidR="00DF6776" w:rsidRPr="00116271" w:rsidRDefault="0011627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Клуб ( творческие мастерские)</w:t>
                  </w:r>
                  <w:r w:rsidRPr="00116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  <w:p w14:paraId="61383785" w14:textId="77777777" w:rsidR="00116271" w:rsidRDefault="00116271"/>
              </w:txbxContent>
            </v:textbox>
          </v:rect>
        </w:pict>
      </w:r>
      <w:r>
        <w:rPr>
          <w:noProof/>
        </w:rPr>
        <w:pict w14:anchorId="4FAC8932">
          <v:roundrect id="_x0000_s1040" style="position:absolute;left:0;text-align:left;margin-left:246.3pt;margin-top:264.25pt;width:338.25pt;height:66pt;z-index:251672576" arcsize="10923f">
            <v:textbox style="mso-next-textbox:#_x0000_s1040">
              <w:txbxContent>
                <w:p w14:paraId="366BD909" w14:textId="77777777" w:rsidR="009F51B0" w:rsidRDefault="009F51B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Фактологический компонент.</w:t>
                  </w:r>
                </w:p>
                <w:p w14:paraId="6271FA3F" w14:textId="43D229F9" w:rsidR="009F51B0" w:rsidRPr="00BE6451" w:rsidRDefault="009F51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</w:t>
                  </w:r>
                  <w:r w:rsidR="00BE64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A5C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ники с ОВЗ</w:t>
                  </w:r>
                </w:p>
              </w:txbxContent>
            </v:textbox>
          </v:roundrect>
        </w:pict>
      </w:r>
      <w:r w:rsidR="009D174E">
        <w:rPr>
          <w:rFonts w:ascii="Times New Roman" w:hAnsi="Times New Roman" w:cs="Times New Roman"/>
        </w:rPr>
        <w:t>Модель инклюзивного образования МБДОУ «</w:t>
      </w:r>
      <w:proofErr w:type="spellStart"/>
      <w:r w:rsidR="009D174E">
        <w:rPr>
          <w:rFonts w:ascii="Times New Roman" w:hAnsi="Times New Roman" w:cs="Times New Roman"/>
        </w:rPr>
        <w:t>Танзыбейский</w:t>
      </w:r>
      <w:proofErr w:type="spellEnd"/>
      <w:r w:rsidR="009D174E">
        <w:rPr>
          <w:rFonts w:ascii="Times New Roman" w:hAnsi="Times New Roman" w:cs="Times New Roman"/>
        </w:rPr>
        <w:t xml:space="preserve"> детский сад»</w:t>
      </w:r>
    </w:p>
    <w:sectPr w:rsidR="00EF469C" w:rsidRPr="009D174E" w:rsidSect="009D17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E745" w14:textId="77777777" w:rsidR="006635D4" w:rsidRDefault="006635D4" w:rsidP="009D174E">
      <w:pPr>
        <w:spacing w:after="0" w:line="240" w:lineRule="auto"/>
      </w:pPr>
      <w:r>
        <w:separator/>
      </w:r>
    </w:p>
  </w:endnote>
  <w:endnote w:type="continuationSeparator" w:id="0">
    <w:p w14:paraId="378E0CC9" w14:textId="77777777" w:rsidR="006635D4" w:rsidRDefault="006635D4" w:rsidP="009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19F1" w14:textId="77777777" w:rsidR="006635D4" w:rsidRDefault="006635D4" w:rsidP="009D174E">
      <w:pPr>
        <w:spacing w:after="0" w:line="240" w:lineRule="auto"/>
      </w:pPr>
      <w:r>
        <w:separator/>
      </w:r>
    </w:p>
  </w:footnote>
  <w:footnote w:type="continuationSeparator" w:id="0">
    <w:p w14:paraId="0B654A14" w14:textId="77777777" w:rsidR="006635D4" w:rsidRDefault="006635D4" w:rsidP="009D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74E"/>
    <w:rsid w:val="00116271"/>
    <w:rsid w:val="00367333"/>
    <w:rsid w:val="005A7E67"/>
    <w:rsid w:val="006635D4"/>
    <w:rsid w:val="00954430"/>
    <w:rsid w:val="009D174E"/>
    <w:rsid w:val="009F51B0"/>
    <w:rsid w:val="00BE6451"/>
    <w:rsid w:val="00C7793F"/>
    <w:rsid w:val="00CA5C05"/>
    <w:rsid w:val="00D57375"/>
    <w:rsid w:val="00DF6776"/>
    <w:rsid w:val="00EF469C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70"/>
        <o:r id="V:Rule2" type="connector" idref="#_x0000_s1075"/>
        <o:r id="V:Rule3" type="connector" idref="#_x0000_s1061"/>
        <o:r id="V:Rule4" type="connector" idref="#_x0000_s1076"/>
        <o:r id="V:Rule5" type="connector" idref="#_x0000_s1060"/>
        <o:r id="V:Rule6" type="connector" idref="#_x0000_s1046"/>
        <o:r id="V:Rule7" type="connector" idref="#_x0000_s1071"/>
        <o:r id="V:Rule8" type="connector" idref="#_x0000_s1078"/>
        <o:r id="V:Rule9" type="connector" idref="#_x0000_s1054"/>
        <o:r id="V:Rule10" type="connector" idref="#_x0000_s1048"/>
        <o:r id="V:Rule11" type="connector" idref="#_x0000_s1059"/>
        <o:r id="V:Rule12" type="connector" idref="#_x0000_s1073"/>
        <o:r id="V:Rule13" type="connector" idref="#_x0000_s1047"/>
        <o:r id="V:Rule14" type="connector" idref="#_x0000_s1069"/>
        <o:r id="V:Rule15" type="connector" idref="#_x0000_s1063"/>
        <o:r id="V:Rule16" type="connector" idref="#_x0000_s1066"/>
        <o:r id="V:Rule17" type="connector" idref="#_x0000_s1050"/>
        <o:r id="V:Rule18" type="connector" idref="#_x0000_s1081"/>
        <o:r id="V:Rule19" type="connector" idref="#_x0000_s1055"/>
        <o:r id="V:Rule20" type="connector" idref="#_x0000_s1087"/>
        <o:r id="V:Rule21" type="connector" idref="#_x0000_s1056"/>
        <o:r id="V:Rule22" type="connector" idref="#_x0000_s1088"/>
        <o:r id="V:Rule23" type="connector" idref="#_x0000_s1065"/>
        <o:r id="V:Rule24" type="connector" idref="#_x0000_s1051"/>
        <o:r id="V:Rule25" type="connector" idref="#_x0000_s1082"/>
        <o:r id="V:Rule26" type="connector" idref="#_x0000_s1086"/>
        <o:r id="V:Rule27" type="connector" idref="#_x0000_s1053"/>
        <o:r id="V:Rule28" type="connector" idref="#_x0000_s1079"/>
        <o:r id="V:Rule29" type="connector" idref="#_x0000_s1067"/>
        <o:r id="V:Rule30" type="connector" idref="#_x0000_s1052"/>
        <o:r id="V:Rule31" type="connector" idref="#_x0000_s1068"/>
        <o:r id="V:Rule32" type="connector" idref="#_x0000_s1057"/>
        <o:r id="V:Rule33" type="connector" idref="#_x0000_s1085"/>
      </o:rules>
    </o:shapelayout>
  </w:shapeDefaults>
  <w:decimalSymbol w:val=","/>
  <w:listSeparator w:val=";"/>
  <w14:docId w14:val="47F48E4B"/>
  <w15:docId w15:val="{80450924-5A4F-4FCC-ABA5-FA57A2B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74E"/>
  </w:style>
  <w:style w:type="paragraph" w:styleId="a5">
    <w:name w:val="footer"/>
    <w:basedOn w:val="a"/>
    <w:link w:val="a6"/>
    <w:uiPriority w:val="99"/>
    <w:semiHidden/>
    <w:unhideWhenUsed/>
    <w:rsid w:val="009D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74E"/>
  </w:style>
  <w:style w:type="paragraph" w:styleId="a7">
    <w:name w:val="Balloon Text"/>
    <w:basedOn w:val="a"/>
    <w:link w:val="a8"/>
    <w:uiPriority w:val="99"/>
    <w:semiHidden/>
    <w:unhideWhenUsed/>
    <w:rsid w:val="009D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7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F6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BE67-03CB-4E5E-A5EA-821CCDCE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Валетина</dc:creator>
  <cp:lastModifiedBy>7115</cp:lastModifiedBy>
  <cp:revision>4</cp:revision>
  <dcterms:created xsi:type="dcterms:W3CDTF">2019-12-19T11:16:00Z</dcterms:created>
  <dcterms:modified xsi:type="dcterms:W3CDTF">2021-12-07T06:45:00Z</dcterms:modified>
</cp:coreProperties>
</file>